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center"/>
        <w:rPr>
          <w:rFonts w:ascii="Avenir Heavy" w:hAnsi="Avenir Heavy"/>
          <w:color w:val="575e61"/>
          <w:sz w:val="29"/>
          <w:szCs w:val="29"/>
          <w:rtl w:val="0"/>
        </w:rPr>
      </w:pPr>
      <w:r>
        <w:rPr>
          <w:rFonts w:ascii="Avenir Heavy" w:hAnsi="Avenir Heavy"/>
          <w:color w:val="575e61"/>
          <w:sz w:val="29"/>
          <w:szCs w:val="29"/>
          <w:rtl w:val="0"/>
        </w:rPr>
        <w:drawing>
          <wp:anchor distT="152400" distB="152400" distL="152400" distR="152400" simplePos="0" relativeHeight="251659264" behindDoc="0" locked="0" layoutInCell="1" allowOverlap="1">
            <wp:simplePos x="0" y="0"/>
            <wp:positionH relativeFrom="margin">
              <wp:posOffset>4380743</wp:posOffset>
            </wp:positionH>
            <wp:positionV relativeFrom="page">
              <wp:posOffset>0</wp:posOffset>
            </wp:positionV>
            <wp:extent cx="1614584" cy="84961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VF logo.jfif.jpeg"/>
                    <pic:cNvPicPr>
                      <a:picLocks noChangeAspect="1"/>
                    </pic:cNvPicPr>
                  </pic:nvPicPr>
                  <pic:blipFill>
                    <a:blip r:embed="rId4">
                      <a:extLst/>
                    </a:blip>
                    <a:stretch>
                      <a:fillRect/>
                    </a:stretch>
                  </pic:blipFill>
                  <pic:spPr>
                    <a:xfrm>
                      <a:off x="0" y="0"/>
                      <a:ext cx="1614584" cy="849610"/>
                    </a:xfrm>
                    <a:prstGeom prst="rect">
                      <a:avLst/>
                    </a:prstGeom>
                    <a:ln w="12700" cap="flat">
                      <a:noFill/>
                      <a:miter lim="400000"/>
                    </a:ln>
                    <a:effectLst/>
                  </pic:spPr>
                </pic:pic>
              </a:graphicData>
            </a:graphic>
          </wp:anchor>
        </w:drawing>
      </w:r>
    </w:p>
    <w:p>
      <w:pPr>
        <w:pStyle w:val="Default"/>
        <w:bidi w:val="0"/>
        <w:spacing w:after="240"/>
        <w:ind w:left="0" w:right="0" w:firstLine="0"/>
        <w:jc w:val="center"/>
        <w:rPr>
          <w:rFonts w:ascii="Avenir Heavy" w:cs="Avenir Heavy" w:hAnsi="Avenir Heavy" w:eastAsia="Avenir Heavy"/>
          <w:color w:val="575e61"/>
          <w:sz w:val="29"/>
          <w:szCs w:val="29"/>
          <w:rtl w:val="0"/>
        </w:rPr>
      </w:pPr>
      <w:r>
        <w:rPr>
          <w:rFonts w:ascii="Avenir Heavy" w:hAnsi="Avenir Heavy"/>
          <w:color w:val="575e61"/>
          <w:sz w:val="29"/>
          <w:szCs w:val="29"/>
          <w:rtl w:val="0"/>
          <w:lang w:val="en-US"/>
        </w:rPr>
        <w:t xml:space="preserve">British </w:t>
      </w:r>
      <w:r>
        <w:rPr>
          <w:rFonts w:ascii="Avenir Heavy" w:hAnsi="Avenir Heavy"/>
          <w:color w:val="575e61"/>
          <w:sz w:val="29"/>
          <w:szCs w:val="29"/>
          <w:rtl w:val="0"/>
          <w:lang w:val="fr-FR"/>
        </w:rPr>
        <w:t>Volleyball Federation</w:t>
      </w:r>
      <w:r>
        <w:rPr>
          <w:rFonts w:ascii="Avenir Heavy" w:hAnsi="Avenir Heavy"/>
          <w:color w:val="575e61"/>
          <w:sz w:val="29"/>
          <w:szCs w:val="29"/>
          <w:rtl w:val="0"/>
          <w:lang w:val="en-US"/>
        </w:rPr>
        <w:t xml:space="preserve"> Annual Anti-Doping Activity Report</w:t>
      </w:r>
    </w:p>
    <w:p>
      <w:pPr>
        <w:pStyle w:val="Default"/>
        <w:bidi w:val="0"/>
        <w:spacing w:after="240"/>
        <w:ind w:left="0" w:right="0" w:firstLine="0"/>
        <w:jc w:val="center"/>
        <w:rPr>
          <w:rFonts w:ascii="Avenir Heavy" w:cs="Avenir Heavy" w:hAnsi="Avenir Heavy" w:eastAsia="Avenir Heavy"/>
          <w:color w:val="575e61"/>
          <w:sz w:val="29"/>
          <w:szCs w:val="29"/>
          <w:rtl w:val="0"/>
        </w:rPr>
      </w:pPr>
      <w:r>
        <w:rPr>
          <w:rFonts w:ascii="Avenir Heavy" w:hAnsi="Avenir Heavy"/>
          <w:color w:val="575e61"/>
          <w:sz w:val="29"/>
          <w:szCs w:val="29"/>
          <w:rtl w:val="0"/>
          <w:lang w:val="fr-FR"/>
        </w:rPr>
        <w:t>2021-</w:t>
      </w:r>
      <w:r>
        <w:rPr>
          <w:rFonts w:ascii="Avenir Heavy" w:hAnsi="Avenir Heavy"/>
          <w:color w:val="575e61"/>
          <w:sz w:val="29"/>
          <w:szCs w:val="29"/>
          <w:rtl w:val="0"/>
        </w:rPr>
        <w:t>202</w:t>
      </w:r>
      <w:r>
        <w:rPr>
          <w:rFonts w:ascii="Avenir Heavy" w:hAnsi="Avenir Heavy"/>
          <w:color w:val="575e61"/>
          <w:sz w:val="29"/>
          <w:szCs w:val="29"/>
          <w:rtl w:val="0"/>
          <w:lang w:val="fr-FR"/>
        </w:rPr>
        <w:t>2</w:t>
      </w:r>
      <w:r>
        <w:rPr>
          <w:rFonts w:ascii="Avenir Heavy" w:hAnsi="Avenir Heavy"/>
          <w:color w:val="575e61"/>
          <w:sz w:val="29"/>
          <w:szCs w:val="29"/>
          <w:rtl w:val="0"/>
          <w:lang w:val="en-US"/>
        </w:rPr>
        <w:t xml:space="preserve"> Season</w:t>
      </w:r>
      <w:r>
        <w:rPr>
          <w:rFonts w:ascii="Avenir Heavy" w:cs="Avenir Heavy" w:hAnsi="Avenir Heavy" w:eastAsia="Avenir Heavy"/>
          <w:color w:val="575e61"/>
          <w:sz w:val="29"/>
          <w:szCs w:val="29"/>
          <w:rtl w:val="0"/>
        </w:rPr>
        <w:drawing>
          <wp:anchor distT="152400" distB="152400" distL="152400" distR="152400" simplePos="0" relativeHeight="251660288" behindDoc="0" locked="0" layoutInCell="1" allowOverlap="1">
            <wp:simplePos x="0" y="0"/>
            <wp:positionH relativeFrom="margin">
              <wp:posOffset>1838794</wp:posOffset>
            </wp:positionH>
            <wp:positionV relativeFrom="line">
              <wp:posOffset>296788</wp:posOffset>
            </wp:positionV>
            <wp:extent cx="2649984" cy="1396133"/>
            <wp:effectExtent l="0" t="0" r="0" b="0"/>
            <wp:wrapThrough wrapText="bothSides" distL="152400" distR="152400">
              <wp:wrapPolygon edited="1">
                <wp:start x="72" y="0"/>
                <wp:lineTo x="72" y="7704"/>
                <wp:lineTo x="1087" y="7842"/>
                <wp:lineTo x="1740" y="10043"/>
                <wp:lineTo x="2319" y="7704"/>
                <wp:lineTo x="3189" y="7842"/>
                <wp:lineTo x="2102" y="11144"/>
                <wp:lineTo x="2102" y="13896"/>
                <wp:lineTo x="1450" y="13896"/>
                <wp:lineTo x="1450" y="14996"/>
                <wp:lineTo x="2537" y="15546"/>
                <wp:lineTo x="2392" y="16785"/>
                <wp:lineTo x="1305" y="16510"/>
                <wp:lineTo x="1087" y="16647"/>
                <wp:lineTo x="1160" y="17335"/>
                <wp:lineTo x="2537" y="18573"/>
                <wp:lineTo x="2537" y="20775"/>
                <wp:lineTo x="1740" y="21600"/>
                <wp:lineTo x="217" y="21187"/>
                <wp:lineTo x="217" y="19811"/>
                <wp:lineTo x="1667" y="20224"/>
                <wp:lineTo x="1740" y="19261"/>
                <wp:lineTo x="435" y="18161"/>
                <wp:lineTo x="290" y="16510"/>
                <wp:lineTo x="797" y="15271"/>
                <wp:lineTo x="1450" y="14996"/>
                <wp:lineTo x="1450" y="13896"/>
                <wp:lineTo x="1232" y="13896"/>
                <wp:lineTo x="1087" y="10869"/>
                <wp:lineTo x="72" y="7704"/>
                <wp:lineTo x="72" y="0"/>
                <wp:lineTo x="362" y="0"/>
                <wp:lineTo x="362" y="138"/>
                <wp:lineTo x="1160" y="250"/>
                <wp:lineTo x="1740" y="1513"/>
                <wp:lineTo x="1160" y="1376"/>
                <wp:lineTo x="1160" y="3164"/>
                <wp:lineTo x="1885" y="2889"/>
                <wp:lineTo x="1812" y="1513"/>
                <wp:lineTo x="1740" y="1513"/>
                <wp:lineTo x="1160" y="250"/>
                <wp:lineTo x="2319" y="413"/>
                <wp:lineTo x="2827" y="1651"/>
                <wp:lineTo x="2682" y="3439"/>
                <wp:lineTo x="1957" y="4403"/>
                <wp:lineTo x="1160" y="4403"/>
                <wp:lineTo x="1160" y="6466"/>
                <wp:lineTo x="362" y="6466"/>
                <wp:lineTo x="362" y="138"/>
                <wp:lineTo x="362" y="0"/>
                <wp:lineTo x="7393" y="0"/>
                <wp:lineTo x="8118" y="217"/>
                <wp:lineTo x="8118" y="1651"/>
                <wp:lineTo x="7176" y="1789"/>
                <wp:lineTo x="6886" y="3715"/>
                <wp:lineTo x="7393" y="4953"/>
                <wp:lineTo x="8336" y="4815"/>
                <wp:lineTo x="8626" y="3990"/>
                <wp:lineTo x="8481" y="2064"/>
                <wp:lineTo x="8118" y="1651"/>
                <wp:lineTo x="8118" y="217"/>
                <wp:lineTo x="8770" y="413"/>
                <wp:lineTo x="9495" y="2064"/>
                <wp:lineTo x="9423" y="4815"/>
                <wp:lineTo x="8553" y="6329"/>
                <wp:lineTo x="7031" y="6329"/>
                <wp:lineTo x="7031" y="7704"/>
                <wp:lineTo x="7901" y="7704"/>
                <wp:lineTo x="8046" y="12245"/>
                <wp:lineTo x="8698" y="12520"/>
                <wp:lineTo x="9133" y="11969"/>
                <wp:lineTo x="9205" y="7704"/>
                <wp:lineTo x="10075" y="7704"/>
                <wp:lineTo x="9930" y="12795"/>
                <wp:lineTo x="9858" y="12916"/>
                <wp:lineTo x="9858" y="15134"/>
                <wp:lineTo x="10728" y="15310"/>
                <wp:lineTo x="11162" y="16510"/>
                <wp:lineTo x="10728" y="16372"/>
                <wp:lineTo x="10728" y="18298"/>
                <wp:lineTo x="11452" y="17885"/>
                <wp:lineTo x="11380" y="16647"/>
                <wp:lineTo x="11162" y="16510"/>
                <wp:lineTo x="10728" y="15310"/>
                <wp:lineTo x="11887" y="15546"/>
                <wp:lineTo x="12322" y="16510"/>
                <wp:lineTo x="12177" y="18573"/>
                <wp:lineTo x="11960" y="19124"/>
                <wp:lineTo x="12685" y="21462"/>
                <wp:lineTo x="11597" y="21187"/>
                <wp:lineTo x="11162" y="19399"/>
                <wp:lineTo x="10728" y="19399"/>
                <wp:lineTo x="10728" y="21462"/>
                <wp:lineTo x="9858" y="21462"/>
                <wp:lineTo x="9858" y="15134"/>
                <wp:lineTo x="9858" y="12916"/>
                <wp:lineTo x="9278" y="13896"/>
                <wp:lineTo x="7683" y="13758"/>
                <wp:lineTo x="7103" y="12520"/>
                <wp:lineTo x="7031" y="7704"/>
                <wp:lineTo x="7031" y="6329"/>
                <wp:lineTo x="6668" y="6604"/>
                <wp:lineTo x="6089" y="8530"/>
                <wp:lineTo x="6523" y="9493"/>
                <wp:lineTo x="6451" y="12382"/>
                <wp:lineTo x="6161" y="13345"/>
                <wp:lineTo x="6886" y="15271"/>
                <wp:lineTo x="7901" y="15271"/>
                <wp:lineTo x="7901" y="16647"/>
                <wp:lineTo x="7103" y="16785"/>
                <wp:lineTo x="6813" y="17610"/>
                <wp:lineTo x="6958" y="19536"/>
                <wp:lineTo x="7321" y="20087"/>
                <wp:lineTo x="8263" y="19811"/>
                <wp:lineTo x="8553" y="17885"/>
                <wp:lineTo x="8118" y="16647"/>
                <wp:lineTo x="7901" y="16647"/>
                <wp:lineTo x="7901" y="15271"/>
                <wp:lineTo x="8408" y="15271"/>
                <wp:lineTo x="9278" y="16647"/>
                <wp:lineTo x="9423" y="19261"/>
                <wp:lineTo x="8770" y="21050"/>
                <wp:lineTo x="8046" y="21600"/>
                <wp:lineTo x="6668" y="21187"/>
                <wp:lineTo x="5944" y="19536"/>
                <wp:lineTo x="6016" y="16785"/>
                <wp:lineTo x="6161" y="15959"/>
                <wp:lineTo x="5291" y="13896"/>
                <wp:lineTo x="3914" y="13758"/>
                <wp:lineTo x="3117" y="12107"/>
                <wp:lineTo x="3117" y="15134"/>
                <wp:lineTo x="3914" y="15250"/>
                <wp:lineTo x="4349" y="16510"/>
                <wp:lineTo x="3914" y="16372"/>
                <wp:lineTo x="3914" y="18298"/>
                <wp:lineTo x="4711" y="17885"/>
                <wp:lineTo x="4566" y="16510"/>
                <wp:lineTo x="4349" y="16510"/>
                <wp:lineTo x="3914" y="15250"/>
                <wp:lineTo x="5001" y="15409"/>
                <wp:lineTo x="5581" y="16647"/>
                <wp:lineTo x="5436" y="18573"/>
                <wp:lineTo x="4856" y="19399"/>
                <wp:lineTo x="3914" y="19536"/>
                <wp:lineTo x="3914" y="21462"/>
                <wp:lineTo x="3117" y="21462"/>
                <wp:lineTo x="3117" y="15134"/>
                <wp:lineTo x="3117" y="12107"/>
                <wp:lineTo x="3189" y="9218"/>
                <wp:lineTo x="3987" y="7842"/>
                <wp:lineTo x="5001" y="7566"/>
                <wp:lineTo x="5001" y="9080"/>
                <wp:lineTo x="4204" y="9355"/>
                <wp:lineTo x="3914" y="11282"/>
                <wp:lineTo x="4421" y="12520"/>
                <wp:lineTo x="5291" y="12382"/>
                <wp:lineTo x="5726" y="11006"/>
                <wp:lineTo x="5436" y="9355"/>
                <wp:lineTo x="5001" y="9080"/>
                <wp:lineTo x="5001" y="7566"/>
                <wp:lineTo x="5509" y="7429"/>
                <wp:lineTo x="5799" y="6466"/>
                <wp:lineTo x="4929" y="6191"/>
                <wp:lineTo x="4494" y="4403"/>
                <wp:lineTo x="3987" y="4403"/>
                <wp:lineTo x="3987" y="6466"/>
                <wp:lineTo x="3189" y="6466"/>
                <wp:lineTo x="3189" y="138"/>
                <wp:lineTo x="3987" y="250"/>
                <wp:lineTo x="4566" y="1513"/>
                <wp:lineTo x="3987" y="1376"/>
                <wp:lineTo x="3987" y="3164"/>
                <wp:lineTo x="4711" y="2889"/>
                <wp:lineTo x="4711" y="1513"/>
                <wp:lineTo x="4566" y="1513"/>
                <wp:lineTo x="3987" y="250"/>
                <wp:lineTo x="5146" y="413"/>
                <wp:lineTo x="5654" y="1513"/>
                <wp:lineTo x="5509" y="3439"/>
                <wp:lineTo x="5291" y="4127"/>
                <wp:lineTo x="5944" y="6054"/>
                <wp:lineTo x="6234" y="5090"/>
                <wp:lineTo x="6016" y="4265"/>
                <wp:lineTo x="6161" y="1651"/>
                <wp:lineTo x="7103" y="138"/>
                <wp:lineTo x="7393" y="0"/>
                <wp:lineTo x="9640" y="0"/>
                <wp:lineTo x="9640" y="138"/>
                <wp:lineTo x="12540" y="138"/>
                <wp:lineTo x="12540" y="1513"/>
                <wp:lineTo x="11525" y="1513"/>
                <wp:lineTo x="11525" y="6466"/>
                <wp:lineTo x="10655" y="6466"/>
                <wp:lineTo x="10655" y="1513"/>
                <wp:lineTo x="10510" y="1513"/>
                <wp:lineTo x="10510" y="7704"/>
                <wp:lineTo x="11380" y="7822"/>
                <wp:lineTo x="11960" y="9080"/>
                <wp:lineTo x="11380" y="8943"/>
                <wp:lineTo x="11380" y="10731"/>
                <wp:lineTo x="12105" y="10456"/>
                <wp:lineTo x="12032" y="9080"/>
                <wp:lineTo x="11960" y="9080"/>
                <wp:lineTo x="11380" y="7822"/>
                <wp:lineTo x="12540" y="7980"/>
                <wp:lineTo x="13047" y="9355"/>
                <wp:lineTo x="12757" y="11144"/>
                <wp:lineTo x="12612" y="11557"/>
                <wp:lineTo x="13337" y="13896"/>
                <wp:lineTo x="12540" y="13693"/>
                <wp:lineTo x="12540" y="15134"/>
                <wp:lineTo x="15439" y="15134"/>
                <wp:lineTo x="15439" y="16510"/>
                <wp:lineTo x="14424" y="16510"/>
                <wp:lineTo x="14424" y="21462"/>
                <wp:lineTo x="13554" y="21462"/>
                <wp:lineTo x="13554" y="16510"/>
                <wp:lineTo x="12540" y="16510"/>
                <wp:lineTo x="12540" y="15134"/>
                <wp:lineTo x="12540" y="13693"/>
                <wp:lineTo x="12250" y="13620"/>
                <wp:lineTo x="11815" y="11969"/>
                <wp:lineTo x="11380" y="11969"/>
                <wp:lineTo x="11380" y="13896"/>
                <wp:lineTo x="10510" y="13896"/>
                <wp:lineTo x="10510" y="7704"/>
                <wp:lineTo x="10510" y="1513"/>
                <wp:lineTo x="9640" y="1513"/>
                <wp:lineTo x="9640" y="138"/>
                <wp:lineTo x="9640" y="0"/>
                <wp:lineTo x="12902" y="0"/>
                <wp:lineTo x="12902" y="138"/>
                <wp:lineTo x="15221" y="138"/>
                <wp:lineTo x="15221" y="1376"/>
                <wp:lineTo x="13699" y="1513"/>
                <wp:lineTo x="13699" y="2614"/>
                <wp:lineTo x="15077" y="2614"/>
                <wp:lineTo x="15077" y="3852"/>
                <wp:lineTo x="13699" y="3990"/>
                <wp:lineTo x="13699" y="5090"/>
                <wp:lineTo x="15294" y="5090"/>
                <wp:lineTo x="15294" y="6466"/>
                <wp:lineTo x="12902" y="6329"/>
                <wp:lineTo x="12902" y="138"/>
                <wp:lineTo x="12902" y="0"/>
                <wp:lineTo x="17106" y="0"/>
                <wp:lineTo x="18411" y="550"/>
                <wp:lineTo x="18193" y="1789"/>
                <wp:lineTo x="16816" y="1789"/>
                <wp:lineTo x="16454" y="2752"/>
                <wp:lineTo x="16671" y="4540"/>
                <wp:lineTo x="17541" y="4953"/>
                <wp:lineTo x="18338" y="4540"/>
                <wp:lineTo x="18266" y="6191"/>
                <wp:lineTo x="16381" y="6191"/>
                <wp:lineTo x="15656" y="4815"/>
                <wp:lineTo x="15656" y="1926"/>
                <wp:lineTo x="16526" y="275"/>
                <wp:lineTo x="17106" y="0"/>
                <wp:lineTo x="18701" y="0"/>
                <wp:lineTo x="18701" y="138"/>
                <wp:lineTo x="21600" y="138"/>
                <wp:lineTo x="21600" y="1513"/>
                <wp:lineTo x="20585" y="1513"/>
                <wp:lineTo x="20513" y="6466"/>
                <wp:lineTo x="19715" y="6466"/>
                <wp:lineTo x="19715" y="1513"/>
                <wp:lineTo x="18701" y="1513"/>
                <wp:lineTo x="18701" y="138"/>
                <wp:lineTo x="18701" y="0"/>
                <wp:lineTo x="7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YS_Logo.png"/>
                    <pic:cNvPicPr>
                      <a:picLocks noChangeAspect="1"/>
                    </pic:cNvPicPr>
                  </pic:nvPicPr>
                  <pic:blipFill>
                    <a:blip r:embed="rId5">
                      <a:extLst/>
                    </a:blip>
                    <a:stretch>
                      <a:fillRect/>
                    </a:stretch>
                  </pic:blipFill>
                  <pic:spPr>
                    <a:xfrm>
                      <a:off x="0" y="0"/>
                      <a:ext cx="2649984" cy="1396133"/>
                    </a:xfrm>
                    <a:prstGeom prst="rect">
                      <a:avLst/>
                    </a:prstGeom>
                    <a:ln w="12700" cap="flat">
                      <a:noFill/>
                      <a:miter lim="400000"/>
                    </a:ln>
                    <a:effectLst/>
                  </pic:spPr>
                </pic:pic>
              </a:graphicData>
            </a:graphic>
          </wp:anchor>
        </w:drawing>
      </w:r>
    </w:p>
    <w:p>
      <w:pPr>
        <w:pStyle w:val="Default"/>
        <w:bidi w:val="0"/>
        <w:spacing w:after="240"/>
        <w:ind w:left="0" w:right="0" w:firstLine="0"/>
        <w:jc w:val="both"/>
        <w:rPr>
          <w:rFonts w:ascii="Avenir Heavy" w:cs="Avenir Heavy" w:hAnsi="Avenir Heavy" w:eastAsia="Avenir Heavy"/>
          <w:color w:val="575e61"/>
          <w:sz w:val="29"/>
          <w:szCs w:val="29"/>
          <w:rtl w:val="0"/>
        </w:rPr>
      </w:pPr>
    </w:p>
    <w:p>
      <w:pPr>
        <w:pStyle w:val="Default"/>
        <w:bidi w:val="0"/>
        <w:spacing w:after="240"/>
        <w:ind w:left="0" w:right="0" w:firstLine="0"/>
        <w:jc w:val="both"/>
        <w:rPr>
          <w:rFonts w:ascii="Avenir Heavy" w:cs="Avenir Heavy" w:hAnsi="Avenir Heavy" w:eastAsia="Avenir Heavy"/>
          <w:color w:val="575e61"/>
          <w:sz w:val="29"/>
          <w:szCs w:val="29"/>
          <w:rtl w:val="0"/>
        </w:rPr>
      </w:pPr>
    </w:p>
    <w:p>
      <w:pPr>
        <w:pStyle w:val="Default"/>
        <w:bidi w:val="0"/>
        <w:spacing w:after="240"/>
        <w:ind w:left="0" w:right="0" w:firstLine="0"/>
        <w:jc w:val="both"/>
        <w:rPr>
          <w:rFonts w:ascii="Avenir Heavy" w:cs="Avenir Heavy" w:hAnsi="Avenir Heavy" w:eastAsia="Avenir Heavy"/>
          <w:color w:val="575e61"/>
          <w:sz w:val="29"/>
          <w:szCs w:val="29"/>
          <w:rtl w:val="0"/>
        </w:rPr>
      </w:pPr>
    </w:p>
    <w:p>
      <w:pPr>
        <w:pStyle w:val="Default"/>
        <w:bidi w:val="0"/>
        <w:spacing w:after="240"/>
        <w:ind w:left="0" w:right="0" w:firstLine="0"/>
        <w:jc w:val="both"/>
        <w:rPr>
          <w:rFonts w:ascii="Avenir Heavy" w:cs="Avenir Heavy" w:hAnsi="Avenir Heavy" w:eastAsia="Avenir Heavy"/>
          <w:color w:val="575e61"/>
          <w:sz w:val="29"/>
          <w:szCs w:val="29"/>
          <w:rtl w:val="0"/>
        </w:rPr>
      </w:pPr>
    </w:p>
    <w:p>
      <w:pPr>
        <w:pStyle w:val="Default"/>
        <w:bidi w:val="0"/>
        <w:spacing w:after="240"/>
        <w:ind w:left="0" w:right="0" w:firstLine="0"/>
        <w:jc w:val="both"/>
        <w:rPr>
          <w:rFonts w:ascii="Avenir Heavy" w:cs="Avenir Heavy" w:hAnsi="Avenir Heavy" w:eastAsia="Avenir Heavy"/>
          <w:sz w:val="28"/>
          <w:szCs w:val="28"/>
          <w:rtl w:val="0"/>
        </w:rPr>
      </w:pPr>
      <w:r>
        <w:rPr>
          <w:rFonts w:ascii="Avenir Heavy" w:hAnsi="Avenir Heavy"/>
          <w:sz w:val="28"/>
          <w:szCs w:val="28"/>
          <w:rtl w:val="0"/>
          <w:lang w:val="nl-NL"/>
        </w:rPr>
        <w:t>1. Overview</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en-US"/>
        </w:rPr>
        <w:t xml:space="preserve">This report covers the anti-doping activities of the British </w:t>
      </w:r>
      <w:r>
        <w:rPr>
          <w:rFonts w:ascii="Avenir Book" w:hAnsi="Avenir Book"/>
          <w:sz w:val="28"/>
          <w:szCs w:val="28"/>
          <w:rtl w:val="0"/>
          <w:lang w:val="fr-FR"/>
        </w:rPr>
        <w:t>Volleyball Federation (BVF)</w:t>
      </w:r>
      <w:r>
        <w:rPr>
          <w:rFonts w:ascii="Avenir Book" w:hAnsi="Avenir Book"/>
          <w:sz w:val="28"/>
          <w:szCs w:val="28"/>
          <w:rtl w:val="0"/>
          <w:lang w:val="en-US"/>
        </w:rPr>
        <w:t xml:space="preserve"> during the </w:t>
      </w:r>
      <w:r>
        <w:rPr>
          <w:rFonts w:ascii="Avenir Book" w:hAnsi="Avenir Book"/>
          <w:sz w:val="28"/>
          <w:szCs w:val="28"/>
          <w:rtl w:val="0"/>
          <w:lang w:val="fr-FR"/>
        </w:rPr>
        <w:t>2021-</w:t>
      </w:r>
      <w:r>
        <w:rPr>
          <w:rFonts w:ascii="Avenir Book" w:hAnsi="Avenir Book"/>
          <w:sz w:val="28"/>
          <w:szCs w:val="28"/>
          <w:rtl w:val="0"/>
        </w:rPr>
        <w:t>202</w:t>
      </w:r>
      <w:r>
        <w:rPr>
          <w:rFonts w:ascii="Avenir Book" w:hAnsi="Avenir Book"/>
          <w:sz w:val="28"/>
          <w:szCs w:val="28"/>
          <w:rtl w:val="0"/>
          <w:lang w:val="fr-FR"/>
        </w:rPr>
        <w:t>2</w:t>
      </w:r>
      <w:r>
        <w:rPr>
          <w:rFonts w:ascii="Avenir Book" w:hAnsi="Avenir Book"/>
          <w:sz w:val="28"/>
          <w:szCs w:val="28"/>
          <w:rtl w:val="0"/>
          <w:lang w:val="en-US"/>
        </w:rPr>
        <w:t xml:space="preserve"> season.</w:t>
      </w:r>
      <w:r>
        <w:rPr>
          <w:rFonts w:ascii="Avenir Book" w:hAnsi="Avenir Book"/>
          <w:sz w:val="28"/>
          <w:szCs w:val="28"/>
          <w:rtl w:val="0"/>
          <w:lang w:val="fr-FR"/>
        </w:rPr>
        <w:t xml:space="preserve">  The BVF acts as a conduit for the four home nations, and therefore the majority of the anti-doping activities take place within the home nations, of which any athlete receiving funding from the BVF are part of.</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en-US"/>
        </w:rPr>
        <w:t>Due to Covid restrictions</w:t>
      </w:r>
      <w:r>
        <w:rPr>
          <w:rFonts w:ascii="Avenir Book" w:hAnsi="Avenir Book"/>
          <w:sz w:val="28"/>
          <w:szCs w:val="28"/>
          <w:rtl w:val="0"/>
          <w:lang w:val="fr-FR"/>
        </w:rPr>
        <w:t xml:space="preserve"> </w:t>
      </w:r>
      <w:r>
        <w:rPr>
          <w:rFonts w:ascii="Avenir Book" w:hAnsi="Avenir Book"/>
          <w:sz w:val="28"/>
          <w:szCs w:val="28"/>
          <w:rtl w:val="0"/>
          <w:lang w:val="en-US"/>
        </w:rPr>
        <w:t xml:space="preserve">there were very limited training </w:t>
      </w:r>
      <w:r>
        <w:rPr>
          <w:rFonts w:ascii="Avenir Book" w:hAnsi="Avenir Book"/>
          <w:sz w:val="28"/>
          <w:szCs w:val="28"/>
          <w:rtl w:val="0"/>
          <w:lang w:val="fr-FR"/>
        </w:rPr>
        <w:t xml:space="preserve">and competition </w:t>
      </w:r>
      <w:r>
        <w:rPr>
          <w:rFonts w:ascii="Avenir Book" w:hAnsi="Avenir Book"/>
          <w:sz w:val="28"/>
          <w:szCs w:val="28"/>
          <w:rtl w:val="0"/>
          <w:lang w:val="en-US"/>
        </w:rPr>
        <w:t xml:space="preserve">activities for the GB teams </w:t>
      </w:r>
      <w:r>
        <w:rPr>
          <w:rFonts w:ascii="Avenir Book" w:hAnsi="Avenir Book"/>
          <w:sz w:val="28"/>
          <w:szCs w:val="28"/>
          <w:rtl w:val="0"/>
          <w:lang w:val="fr-FR"/>
        </w:rPr>
        <w:t>at the start of the year. This includes</w:t>
      </w:r>
      <w:r>
        <w:rPr>
          <w:rFonts w:ascii="Avenir Book" w:hAnsi="Avenir Book"/>
          <w:sz w:val="28"/>
          <w:szCs w:val="28"/>
          <w:rtl w:val="0"/>
          <w:lang w:val="en-US"/>
        </w:rPr>
        <w:t xml:space="preserve"> pathway activities of the </w:t>
      </w:r>
      <w:r>
        <w:rPr>
          <w:rFonts w:ascii="Avenir Book" w:hAnsi="Avenir Book"/>
          <w:sz w:val="28"/>
          <w:szCs w:val="28"/>
          <w:rtl w:val="0"/>
          <w:lang w:val="fr-FR"/>
        </w:rPr>
        <w:t>home nation</w:t>
      </w:r>
      <w:r>
        <w:rPr>
          <w:rFonts w:ascii="Avenir Book" w:hAnsi="Avenir Book"/>
          <w:sz w:val="28"/>
          <w:szCs w:val="28"/>
          <w:rtl w:val="0"/>
          <w:lang w:val="en-US"/>
        </w:rPr>
        <w:t xml:space="preserve"> associations, and no domestic leagues. </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fr-FR"/>
        </w:rPr>
        <w:t>However with the resumption of training and competition at the later end of 2021, home nations and athletes have resumed their plans for anti-doping activities within their area.</w:t>
      </w:r>
    </w:p>
    <w:p>
      <w:pPr>
        <w:pStyle w:val="Default"/>
        <w:bidi w:val="0"/>
        <w:spacing w:after="240"/>
        <w:ind w:left="0" w:right="0" w:firstLine="0"/>
        <w:jc w:val="both"/>
        <w:rPr>
          <w:rFonts w:ascii="Avenir Heavy" w:cs="Avenir Heavy" w:hAnsi="Avenir Heavy" w:eastAsia="Avenir Heavy"/>
          <w:sz w:val="28"/>
          <w:szCs w:val="28"/>
          <w:rtl w:val="0"/>
        </w:rPr>
      </w:pPr>
      <w:r>
        <w:rPr>
          <w:rFonts w:ascii="Avenir Heavy" w:hAnsi="Avenir Heavy"/>
          <w:sz w:val="28"/>
          <w:szCs w:val="28"/>
          <w:rtl w:val="0"/>
          <w:lang w:val="en-US"/>
        </w:rPr>
        <w:t>2. Education</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fr-FR"/>
        </w:rPr>
        <w:t>Due to the implementation of the UKAD Assurance Framework across all home nations and NGB</w:t>
      </w:r>
      <w:r>
        <w:rPr>
          <w:rFonts w:ascii="Avenir Book" w:hAnsi="Avenir Book" w:hint="default"/>
          <w:sz w:val="28"/>
          <w:szCs w:val="28"/>
          <w:rtl w:val="0"/>
          <w:lang w:val="fr-FR"/>
        </w:rPr>
        <w:t>’</w:t>
      </w:r>
      <w:r>
        <w:rPr>
          <w:rFonts w:ascii="Avenir Book" w:hAnsi="Avenir Book"/>
          <w:sz w:val="28"/>
          <w:szCs w:val="28"/>
          <w:rtl w:val="0"/>
          <w:lang w:val="fr-FR"/>
        </w:rPr>
        <w:t xml:space="preserve">s, a huge amount of work has been put in place to ensure robust education and monitoring of athletes and support personnel will occur.  The BVF have also just been placed onto the Clean Sport Hub to complete their own UKAD Assurance Framework (beginning February 2022), and therefore the work is still underway in collating all of the information required to successfully complete this.  </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fr-FR"/>
        </w:rPr>
        <w:t>The home nations of England and Scotland have completed or almost completed their Frameworks with sign-off, and have begun to implement their Clean Sport Education Strategy which covers all GB Funded athletes on the BVF programmes.  This can be found on their respective websites or through their anti-doping leads. Wales and Northern Ireland are in the process of assembling their own UKAD Assurance Frameworks.</w:t>
      </w:r>
    </w:p>
    <w:p>
      <w:pPr>
        <w:pStyle w:val="Default"/>
        <w:bidi w:val="0"/>
        <w:spacing w:after="240"/>
        <w:ind w:left="0" w:right="0" w:firstLine="0"/>
        <w:jc w:val="both"/>
        <w:rPr>
          <w:rFonts w:ascii="Avenir Heavy" w:cs="Avenir Heavy" w:hAnsi="Avenir Heavy" w:eastAsia="Avenir Heavy"/>
          <w:color w:val="ff2600"/>
          <w:sz w:val="28"/>
          <w:szCs w:val="28"/>
          <w:rtl w:val="0"/>
        </w:rPr>
      </w:pPr>
      <w:r>
        <w:rPr>
          <w:rFonts w:ascii="Avenir Book" w:hAnsi="Avenir Book"/>
          <w:sz w:val="28"/>
          <w:szCs w:val="28"/>
          <w:rtl w:val="0"/>
          <w:lang w:val="fr-FR"/>
        </w:rPr>
        <w:t>In addition, any international beach, or Indoor volleyball athlete has to complete the FIVB Clean Sport education programme before they are allowed to compete internationally.  This is held on the FIVB database and checked before each competition.  I am yet to confirm Sitting</w:t>
      </w:r>
    </w:p>
    <w:p>
      <w:pPr>
        <w:pStyle w:val="Default"/>
        <w:bidi w:val="0"/>
        <w:spacing w:after="240" w:line="300" w:lineRule="atLeast"/>
        <w:ind w:left="0" w:right="0" w:firstLine="0"/>
        <w:jc w:val="left"/>
        <w:rPr>
          <w:rFonts w:ascii="Avenir Book" w:cs="Avenir Book" w:hAnsi="Avenir Book" w:eastAsia="Avenir Book"/>
          <w:sz w:val="28"/>
          <w:szCs w:val="28"/>
          <w:shd w:val="clear" w:color="auto" w:fill="ffffff"/>
          <w:rtl w:val="0"/>
        </w:rPr>
      </w:pPr>
      <w:r>
        <w:rPr>
          <w:rFonts w:ascii="Avenir Book" w:hAnsi="Avenir Book"/>
          <w:sz w:val="28"/>
          <w:szCs w:val="28"/>
          <w:shd w:val="clear" w:color="auto" w:fill="ffffff"/>
          <w:rtl w:val="0"/>
          <w:lang w:val="fr-FR"/>
        </w:rPr>
        <w:t>This year, a</w:t>
      </w:r>
      <w:r>
        <w:rPr>
          <w:rFonts w:ascii="Avenir Book" w:hAnsi="Avenir Book"/>
          <w:sz w:val="28"/>
          <w:szCs w:val="28"/>
          <w:shd w:val="clear" w:color="auto" w:fill="ffffff"/>
          <w:rtl w:val="0"/>
          <w:lang w:val="en-US"/>
        </w:rPr>
        <w:t xml:space="preserve">thletes identified in the long list for beach volleyball ahead of Birmingham 2022, are taking part in the sessions organised by UKAD (Clean Sport Education sessions). </w:t>
      </w:r>
    </w:p>
    <w:p>
      <w:pPr>
        <w:pStyle w:val="Default"/>
        <w:bidi w:val="0"/>
        <w:spacing w:after="240"/>
        <w:ind w:left="0" w:right="0" w:firstLine="0"/>
        <w:jc w:val="both"/>
        <w:rPr>
          <w:rFonts w:ascii="Avenir Heavy" w:cs="Avenir Heavy" w:hAnsi="Avenir Heavy" w:eastAsia="Avenir Heavy"/>
          <w:sz w:val="28"/>
          <w:szCs w:val="28"/>
          <w:rtl w:val="0"/>
        </w:rPr>
      </w:pPr>
      <w:r>
        <w:rPr>
          <w:rFonts w:ascii="Avenir Heavy" w:hAnsi="Avenir Heavy"/>
          <w:sz w:val="28"/>
          <w:szCs w:val="28"/>
          <w:rtl w:val="0"/>
          <w:lang w:val="fr-FR"/>
        </w:rPr>
        <w:t>3. Communication</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en-US"/>
        </w:rPr>
        <w:t>Website</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en-US"/>
        </w:rPr>
        <w:t xml:space="preserve">The </w:t>
      </w:r>
      <w:r>
        <w:rPr>
          <w:rFonts w:ascii="Avenir Book" w:hAnsi="Avenir Book"/>
          <w:sz w:val="28"/>
          <w:szCs w:val="28"/>
          <w:rtl w:val="0"/>
          <w:lang w:val="fr-FR"/>
        </w:rPr>
        <w:t>BVF</w:t>
      </w:r>
      <w:r>
        <w:rPr>
          <w:rFonts w:ascii="Avenir Book" w:hAnsi="Avenir Book"/>
          <w:sz w:val="28"/>
          <w:szCs w:val="28"/>
          <w:rtl w:val="0"/>
          <w:lang w:val="en-US"/>
        </w:rPr>
        <w:t xml:space="preserve"> website has been updated to include an Anti-Doping section, which features </w:t>
      </w:r>
      <w:r>
        <w:rPr>
          <w:rFonts w:ascii="Avenir Book" w:hAnsi="Avenir Book"/>
          <w:sz w:val="28"/>
          <w:szCs w:val="28"/>
          <w:rtl w:val="0"/>
          <w:lang w:val="fr-FR"/>
        </w:rPr>
        <w:t xml:space="preserve">all essential </w:t>
      </w:r>
      <w:r>
        <w:rPr>
          <w:rFonts w:ascii="Avenir Book" w:hAnsi="Avenir Book"/>
          <w:sz w:val="28"/>
          <w:szCs w:val="28"/>
          <w:rtl w:val="0"/>
          <w:lang w:val="en-US"/>
        </w:rPr>
        <w:t xml:space="preserve">anti-doping </w:t>
      </w:r>
      <w:r>
        <w:rPr>
          <w:rFonts w:ascii="Avenir Book" w:hAnsi="Avenir Book"/>
          <w:sz w:val="28"/>
          <w:szCs w:val="28"/>
          <w:rtl w:val="0"/>
          <w:lang w:val="fr-FR"/>
        </w:rPr>
        <w:t>information;</w:t>
      </w:r>
      <w:r>
        <w:rPr>
          <w:rFonts w:ascii="Avenir Book" w:hAnsi="Avenir Book"/>
          <w:sz w:val="28"/>
          <w:szCs w:val="28"/>
          <w:rtl w:val="0"/>
          <w:lang w:val="en-US"/>
        </w:rPr>
        <w:t xml:space="preserve"> the Prohibited list, Global DRO, TUEs, 100% me, as well as information on how to report any violations.</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en-US"/>
        </w:rPr>
        <w:t>Prohibited List and TUE communications</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fr-FR"/>
        </w:rPr>
        <w:t>The BVF along with the home nations will ensure that each year the updated Prohibited List along with any TUE communications are sent and documented to athletes and support personnel.</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fr-FR"/>
        </w:rPr>
        <w:t>Pro-active communications</w:t>
      </w:r>
    </w:p>
    <w:p>
      <w:pPr>
        <w:pStyle w:val="Default"/>
        <w:bidi w:val="0"/>
        <w:spacing w:after="240"/>
        <w:ind w:left="0" w:right="0" w:firstLine="0"/>
        <w:jc w:val="both"/>
        <w:rPr>
          <w:rFonts w:ascii="Avenir Book" w:cs="Avenir Book" w:hAnsi="Avenir Book" w:eastAsia="Avenir Book"/>
          <w:sz w:val="28"/>
          <w:szCs w:val="28"/>
          <w:rtl w:val="0"/>
        </w:rPr>
      </w:pPr>
      <w:r>
        <w:rPr>
          <w:rFonts w:ascii="Avenir Book" w:hAnsi="Avenir Book"/>
          <w:sz w:val="28"/>
          <w:szCs w:val="28"/>
          <w:rtl w:val="0"/>
          <w:lang w:val="fr-FR"/>
        </w:rPr>
        <w:t>The BVF has recently updated all of their social media platforms (facebook, twitter and LinkedIn), and will regularly post, follow and share UKAD</w:t>
      </w:r>
      <w:r>
        <w:rPr>
          <w:rFonts w:ascii="Avenir Book" w:hAnsi="Avenir Book" w:hint="default"/>
          <w:sz w:val="28"/>
          <w:szCs w:val="28"/>
          <w:rtl w:val="0"/>
          <w:lang w:val="fr-FR"/>
        </w:rPr>
        <w:t>’</w:t>
      </w:r>
      <w:r>
        <w:rPr>
          <w:rFonts w:ascii="Avenir Book" w:hAnsi="Avenir Book"/>
          <w:sz w:val="28"/>
          <w:szCs w:val="28"/>
          <w:rtl w:val="0"/>
          <w:lang w:val="fr-FR"/>
        </w:rPr>
        <w:t xml:space="preserve">s positive anti-doping messages.  This will include </w:t>
      </w:r>
      <w:r>
        <w:rPr>
          <w:rFonts w:ascii="Avenir Book" w:hAnsi="Avenir Book"/>
          <w:sz w:val="28"/>
          <w:szCs w:val="28"/>
          <w:rtl w:val="0"/>
          <w:lang w:val="en-US"/>
        </w:rPr>
        <w:t>promoting Clean Sport Week activities on social media.</w:t>
      </w:r>
    </w:p>
    <w:p>
      <w:pPr>
        <w:pStyle w:val="Default"/>
        <w:bidi w:val="0"/>
        <w:spacing w:after="240"/>
        <w:ind w:left="0" w:right="0" w:firstLine="0"/>
        <w:jc w:val="both"/>
        <w:rPr>
          <w:rFonts w:ascii="Avenir Heavy" w:cs="Avenir Heavy" w:hAnsi="Avenir Heavy" w:eastAsia="Avenir Heavy"/>
          <w:sz w:val="28"/>
          <w:szCs w:val="28"/>
          <w:rtl w:val="0"/>
        </w:rPr>
      </w:pPr>
      <w:r>
        <w:rPr>
          <w:rFonts w:ascii="Avenir Heavy" w:hAnsi="Avenir Heavy"/>
          <w:sz w:val="28"/>
          <w:szCs w:val="28"/>
          <w:rtl w:val="0"/>
        </w:rPr>
        <w:t>4. Testing</w:t>
      </w:r>
    </w:p>
    <w:p>
      <w:pPr>
        <w:pStyle w:val="Default"/>
        <w:bidi w:val="0"/>
        <w:spacing w:after="240"/>
        <w:ind w:left="0" w:right="0" w:firstLine="0"/>
        <w:jc w:val="both"/>
        <w:rPr>
          <w:rtl w:val="0"/>
        </w:rPr>
      </w:pPr>
      <w:r>
        <w:rPr>
          <w:rFonts w:ascii="Avenir Book" w:hAnsi="Avenir Book"/>
          <w:sz w:val="28"/>
          <w:szCs w:val="28"/>
          <w:rtl w:val="0"/>
          <w:lang w:val="en-US"/>
        </w:rPr>
        <w:t xml:space="preserve">With no international competition or training for the GB </w:t>
      </w:r>
      <w:r>
        <w:rPr>
          <w:rFonts w:ascii="Avenir Book" w:hAnsi="Avenir Book"/>
          <w:sz w:val="28"/>
          <w:szCs w:val="28"/>
          <w:rtl w:val="0"/>
          <w:lang w:val="fr-FR"/>
        </w:rPr>
        <w:t>Sitting Volleyball t</w:t>
      </w:r>
      <w:r>
        <w:rPr>
          <w:rFonts w:ascii="Avenir Book" w:hAnsi="Avenir Book"/>
          <w:sz w:val="28"/>
          <w:szCs w:val="28"/>
          <w:rtl w:val="0"/>
          <w:lang w:val="en-US"/>
        </w:rPr>
        <w:t xml:space="preserve">eams this year, none of the players were tested by the </w:t>
      </w:r>
      <w:r>
        <w:rPr>
          <w:rFonts w:ascii="Avenir Book" w:hAnsi="Avenir Book"/>
          <w:sz w:val="28"/>
          <w:szCs w:val="28"/>
          <w:rtl w:val="0"/>
          <w:lang w:val="fr-FR"/>
        </w:rPr>
        <w:t>International Federations.  Beach Volleyball athletes who have resumed competing have the right to be tested at any competition they enter or within their training environment.</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